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032" w:rsidRDefault="00655032" w:rsidP="00F92DA5">
      <w:pPr>
        <w:pStyle w:val="Heading1"/>
      </w:pPr>
      <w:r>
        <w:t>Známe ekologickou stopu města Hlučín</w:t>
      </w:r>
    </w:p>
    <w:p w:rsidR="00655032" w:rsidRDefault="00655032" w:rsidP="00F92DA5">
      <w:pPr>
        <w:spacing w:after="0"/>
        <w:jc w:val="both"/>
        <w:rPr>
          <w:b/>
        </w:rPr>
      </w:pPr>
    </w:p>
    <w:p w:rsidR="00655032" w:rsidRPr="006250EB" w:rsidRDefault="00655032" w:rsidP="005421F4">
      <w:pPr>
        <w:jc w:val="both"/>
        <w:rPr>
          <w:b/>
          <w:i/>
        </w:rPr>
      </w:pPr>
      <w:r w:rsidRPr="006250EB">
        <w:rPr>
          <w:b/>
          <w:i/>
        </w:rPr>
        <w:t xml:space="preserve">Město </w:t>
      </w:r>
      <w:r>
        <w:rPr>
          <w:b/>
          <w:i/>
        </w:rPr>
        <w:t>Hlučín, člen Národní sítě zdravých měst,</w:t>
      </w:r>
      <w:r w:rsidRPr="006250EB">
        <w:rPr>
          <w:b/>
          <w:i/>
        </w:rPr>
        <w:t xml:space="preserve"> se připojilo k dalším českým a zahraničním městům, která mají stanovenou ekologickou stopu. </w:t>
      </w:r>
      <w:r>
        <w:rPr>
          <w:b/>
          <w:i/>
        </w:rPr>
        <w:t xml:space="preserve">Vzhledem k velmi příznivému výsledku bude důležité tento parametr udržet i do budoucna. </w:t>
      </w:r>
    </w:p>
    <w:p w:rsidR="00655032" w:rsidRDefault="00655032" w:rsidP="005421F4">
      <w:pPr>
        <w:jc w:val="both"/>
        <w:rPr>
          <w:b/>
        </w:rPr>
      </w:pPr>
      <w:r>
        <w:t xml:space="preserve">Ekologická stopa je vizitkou udržitelnosti města. Odráží, kolik obyvatelé a firmy ve městě za rok spotřebovali zdrojů a kolik při tom vytvořili odpadů. </w:t>
      </w:r>
      <w:r w:rsidRPr="008D2FDB">
        <w:t xml:space="preserve">Stanovuje se v tzv. globálních hektarech – hektarech přepočtených podle produktivity. </w:t>
      </w:r>
      <w:r w:rsidRPr="00DB1900">
        <w:rPr>
          <w:b/>
        </w:rPr>
        <w:t xml:space="preserve">Ekologická stopa </w:t>
      </w:r>
      <w:r>
        <w:rPr>
          <w:b/>
        </w:rPr>
        <w:t>Hlučína</w:t>
      </w:r>
      <w:r>
        <w:t xml:space="preserve"> dosahuje příznivé hodnoty </w:t>
      </w:r>
      <w:r w:rsidRPr="00DB1900">
        <w:rPr>
          <w:b/>
        </w:rPr>
        <w:t>4,</w:t>
      </w:r>
      <w:r>
        <w:rPr>
          <w:b/>
        </w:rPr>
        <w:t>28</w:t>
      </w:r>
      <w:r w:rsidRPr="00DB1900">
        <w:rPr>
          <w:b/>
        </w:rPr>
        <w:t xml:space="preserve"> gha/obyvatele</w:t>
      </w:r>
      <w:r>
        <w:rPr>
          <w:b/>
        </w:rPr>
        <w:t>,</w:t>
      </w:r>
      <w:r>
        <w:t xml:space="preserve"> což je druhá nejnižší hodnota ze 14 měst, kde byl podrobný výpočet proveden. Ekologickou stopu města však musíme srovnávat především s jeho biokapacitou (tzv. ekologickým zázemím), která je </w:t>
      </w:r>
      <w:r w:rsidRPr="00DB1900">
        <w:rPr>
          <w:b/>
        </w:rPr>
        <w:t>0,5</w:t>
      </w:r>
      <w:r>
        <w:rPr>
          <w:b/>
        </w:rPr>
        <w:t>4</w:t>
      </w:r>
      <w:r w:rsidRPr="00DB1900">
        <w:rPr>
          <w:b/>
        </w:rPr>
        <w:t xml:space="preserve"> gha/obyvatele</w:t>
      </w:r>
      <w:r>
        <w:t xml:space="preserve">. Ekologická stopa Hlučína překračuje </w:t>
      </w:r>
      <w:r w:rsidRPr="0072122C">
        <w:rPr>
          <w:b/>
        </w:rPr>
        <w:t xml:space="preserve">biokapacitu města </w:t>
      </w:r>
      <w:r>
        <w:rPr>
          <w:b/>
        </w:rPr>
        <w:t>přibližně  8</w:t>
      </w:r>
      <w:r w:rsidRPr="0072122C">
        <w:rPr>
          <w:b/>
        </w:rPr>
        <w:t xml:space="preserve"> krát.</w:t>
      </w:r>
    </w:p>
    <w:p w:rsidR="00655032" w:rsidRDefault="00655032" w:rsidP="005421F4">
      <w:pPr>
        <w:jc w:val="both"/>
        <w:rPr>
          <w:b/>
        </w:rPr>
      </w:pPr>
      <w:r w:rsidRPr="00E93696">
        <w:rPr>
          <w:b/>
          <w:noProof/>
          <w:lang w:eastAsia="cs-C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7.5pt;height:204.75pt;visibility:visible">
            <v:imagedata r:id="rId6" o:title=""/>
          </v:shape>
        </w:pict>
      </w:r>
    </w:p>
    <w:p w:rsidR="00655032" w:rsidRDefault="00655032" w:rsidP="001B51C0">
      <w:pPr>
        <w:jc w:val="both"/>
      </w:pPr>
      <w:r w:rsidRPr="008D2FDB">
        <w:t>Žádné město na světě se z principu „nevejde“ do své biokapacity, je závislé na širokém „ekologic</w:t>
      </w:r>
      <w:r>
        <w:t>kém zázemí“. Ve městě dochází k</w:t>
      </w:r>
      <w:r w:rsidRPr="008D2FDB">
        <w:t xml:space="preserve"> </w:t>
      </w:r>
      <w:r>
        <w:t xml:space="preserve">soustředění </w:t>
      </w:r>
      <w:r w:rsidRPr="008D2FDB">
        <w:t>obyvatelstva, průmyslu a dalších aspektů lidské společnosti</w:t>
      </w:r>
      <w:r>
        <w:t>. To má svá negativa (např. zvýšené znečištění ovzduší, hluku, nemocnosti), ale i pozitiva (např. menší spotřeba ploch než u rozptýlené venkovské zástavby, menší vliv na krajinu a na druhovou pestrost). Důležité je stanovit, jak si z hlediska „zeleného účetnictví“ město v současné době stojí a pokusit se ovlivnit budoucí vývoj. Ekologickou stopu českým a moravským městům pomáhá stanovit Týmová iniciativa pro místní udržitelný rozvoj, o.s.</w:t>
      </w:r>
      <w:r>
        <w:rPr>
          <w:rStyle w:val="FootnoteReference"/>
          <w:color w:val="0000FF"/>
          <w:u w:val="single"/>
        </w:rPr>
        <w:footnoteReference w:id="1"/>
      </w:r>
      <w:r>
        <w:t xml:space="preserve">. </w:t>
      </w:r>
    </w:p>
    <w:p w:rsidR="00655032" w:rsidRDefault="00655032" w:rsidP="001B51C0">
      <w:pPr>
        <w:jc w:val="both"/>
      </w:pPr>
      <w:r w:rsidRPr="007C3C4E">
        <w:rPr>
          <w:noProof/>
          <w:lang w:eastAsia="cs-CZ"/>
        </w:rPr>
        <w:pict>
          <v:shape id="Picture 2" o:spid="_x0000_i1026" type="#_x0000_t75" style="width:431.25pt;height:410.25pt;visibility:visible">
            <v:imagedata r:id="rId7" o:title=""/>
          </v:shape>
        </w:pict>
      </w:r>
    </w:p>
    <w:p w:rsidR="00655032" w:rsidRDefault="00655032" w:rsidP="00423319">
      <w:pPr>
        <w:jc w:val="both"/>
        <w:rPr>
          <w:rFonts w:cs="Verdana"/>
          <w:bCs/>
        </w:rPr>
      </w:pPr>
      <w:r>
        <w:rPr>
          <w:rFonts w:cs="Verdana"/>
          <w:bCs/>
        </w:rPr>
        <w:t xml:space="preserve">Výsledky ekologické stopy z českých měst ukazuje graf. </w:t>
      </w:r>
      <w:r w:rsidRPr="00D365EA">
        <w:rPr>
          <w:rFonts w:cs="Verdana"/>
          <w:b/>
          <w:bCs/>
        </w:rPr>
        <w:t>Příznivý výsledek Hlučína</w:t>
      </w:r>
      <w:r>
        <w:rPr>
          <w:rFonts w:cs="Verdana"/>
          <w:bCs/>
        </w:rPr>
        <w:t xml:space="preserve"> odráží relativně nízkou hodnotu spotřeby energií ve městě, kde chybí těžší průmysl a jiné energeticky náročné provozy. Ovlivňuje ho dále malý rozsah nové výstavby, šetrné  způsoby dopravy obyvatel Hlučína a rostoucí podíl třídění odpadů. Roli hraje i nízký podíl zastavěných ploch na celkové ekologické stopě. </w:t>
      </w:r>
      <w:r w:rsidRPr="002D21C4">
        <w:rPr>
          <w:rFonts w:cs="Verdana"/>
          <w:bCs/>
        </w:rPr>
        <w:t xml:space="preserve">Složení ekologické stopy z hlediska </w:t>
      </w:r>
      <w:r>
        <w:rPr>
          <w:rFonts w:cs="Verdana"/>
          <w:bCs/>
        </w:rPr>
        <w:t xml:space="preserve">jednotlivých kategorií spotřeby ukazuje graf.  Složení i velikost ekologické stopy Hlučína se blíží městu se zatím nejnižší ekologickou stopou - Semil. Naopak ekologickou stopu jiného města z moravskoslezského kraje – Kopřivnice (5,87 gha/obyvatele) – zvyšuje přítomnost průmyslu ve městě a vysoká spotřeba energie. </w:t>
      </w:r>
    </w:p>
    <w:p w:rsidR="00655032" w:rsidRDefault="00655032" w:rsidP="005421F4">
      <w:pPr>
        <w:jc w:val="both"/>
        <w:rPr>
          <w:rFonts w:cs="Verdana"/>
          <w:bCs/>
        </w:rPr>
      </w:pPr>
    </w:p>
    <w:p w:rsidR="00655032" w:rsidRDefault="00655032" w:rsidP="005421F4">
      <w:pPr>
        <w:jc w:val="both"/>
      </w:pPr>
      <w:r w:rsidRPr="007C3C4E">
        <w:rPr>
          <w:noProof/>
          <w:lang w:eastAsia="cs-CZ"/>
        </w:rPr>
        <w:pict>
          <v:shape id="Picture 3" o:spid="_x0000_i1027" type="#_x0000_t75" style="width:381pt;height:222.75pt;visibility:visible">
            <v:imagedata r:id="rId8" o:title=""/>
          </v:shape>
        </w:pict>
      </w:r>
    </w:p>
    <w:p w:rsidR="00655032" w:rsidRDefault="00655032" w:rsidP="005421F4">
      <w:pPr>
        <w:jc w:val="both"/>
      </w:pPr>
    </w:p>
    <w:p w:rsidR="00655032" w:rsidRPr="003D341C" w:rsidRDefault="00655032" w:rsidP="005421F4">
      <w:pPr>
        <w:jc w:val="both"/>
        <w:rPr>
          <w:rFonts w:cs="Verdana"/>
          <w:bCs/>
        </w:rPr>
      </w:pPr>
      <w:r>
        <w:t>Pokud jde o biokapacitu na jednoho obyvatele (</w:t>
      </w:r>
      <w:r w:rsidRPr="00575CD2">
        <w:rPr>
          <w:b/>
        </w:rPr>
        <w:t>0,5</w:t>
      </w:r>
      <w:r>
        <w:rPr>
          <w:b/>
        </w:rPr>
        <w:t>4</w:t>
      </w:r>
      <w:r w:rsidRPr="00575CD2">
        <w:rPr>
          <w:b/>
        </w:rPr>
        <w:t xml:space="preserve"> gha</w:t>
      </w:r>
      <w:r>
        <w:t xml:space="preserve">), stojí Hlučín zhruba uprostřed mezi sledovanými městy. Znamená to, že přírodní potenciál (plochy zeleně, luk, pastvin, zahrad, orné půdy atp.) administrativního území města je příznivý. To platí v dvojnásobné míře, pokud bychom do výpočtu zahrnuli přírodně cenné okolí města. </w:t>
      </w:r>
    </w:p>
    <w:p w:rsidR="00655032" w:rsidRDefault="00655032" w:rsidP="005421F4">
      <w:pPr>
        <w:jc w:val="both"/>
      </w:pPr>
      <w:r>
        <w:t xml:space="preserve">Dále je možné provést orientační porovnání s ekologickou stopou průměrného obyvatele České republiky, která podle údajů </w:t>
      </w:r>
      <w:r w:rsidRPr="004459D2">
        <w:rPr>
          <w:color w:val="0000FF"/>
          <w:u w:val="single"/>
        </w:rPr>
        <w:t>Global Footprint Network</w:t>
      </w:r>
      <w:r>
        <w:rPr>
          <w:rStyle w:val="FootnoteReference"/>
          <w:color w:val="0000FF"/>
          <w:u w:val="single"/>
        </w:rPr>
        <w:footnoteReference w:id="2"/>
      </w:r>
      <w:r>
        <w:t xml:space="preserve"> činila v roce 2010 (data z toku 2007) 5,7 gha/obyvatele. Důležitým ukazatelem je také biologická kapacita, dostupná na jednoho Čecha, která v témže roce činila 2,7 gha. Nicméně v celosvětovém měřítku  dosahovala pouze 1,8 gha/obyvatele. Toto číslo lze považovat za globální míru udržitelnosti. K této metě by měla směřovat i Česká republika, respektive její města a obce.</w:t>
      </w:r>
    </w:p>
    <w:p w:rsidR="00655032" w:rsidRPr="00C831C3" w:rsidRDefault="00655032" w:rsidP="005421F4">
      <w:pPr>
        <w:jc w:val="both"/>
        <w:rPr>
          <w:b/>
        </w:rPr>
      </w:pPr>
      <w:r w:rsidRPr="00C831C3">
        <w:rPr>
          <w:b/>
        </w:rPr>
        <w:t xml:space="preserve">Jak dosáhnout příznivého vývoje ekologické stopy a biokapacity </w:t>
      </w:r>
      <w:r>
        <w:rPr>
          <w:b/>
        </w:rPr>
        <w:t>Hlučína do budoucna?</w:t>
      </w:r>
    </w:p>
    <w:p w:rsidR="00655032" w:rsidRDefault="00655032" w:rsidP="005421F4">
      <w:pPr>
        <w:jc w:val="both"/>
      </w:pPr>
      <w:r>
        <w:t xml:space="preserve">Muselo by jít o kombinaci různých opatření, kterou odpovědným politiků a dalším lidem, kteří se na rozvoji měst podílí (např. majitele firem) nabízí modelace na stránkách </w:t>
      </w:r>
      <w:hyperlink r:id="rId9" w:history="1">
        <w:r w:rsidRPr="007906FD">
          <w:rPr>
            <w:rStyle w:val="Hyperlink"/>
          </w:rPr>
          <w:t>www.ekostopa.cz/mesto</w:t>
        </w:r>
      </w:hyperlink>
      <w:r>
        <w:t>. Největší díl na ekologické stopě města Hlučína má spotřeba a výstavba (36 %) a spotřeba energie (22 %). Účinným způsobem je proto například snížení nové výstavy na orné půdě či trvalých travních porostech. Významný dopad by také mělo snížení spotřeby energií na území města, zvýšení energetické efektivity, či využívání alternativních zdrojů</w:t>
      </w:r>
      <w:bookmarkStart w:id="0" w:name="_GoBack"/>
      <w:bookmarkEnd w:id="0"/>
      <w:r>
        <w:t xml:space="preserve"> energie. Již dnes existují příznivé příklady na území města – bioplyn produkovaný na ČOV (v objemu necelých 60. tis. kubíků za rok), je obnovitelný zdroj, který přispívá k výrobě tepla a snižuje ekologickou stopu energie. </w:t>
      </w:r>
    </w:p>
    <w:p w:rsidR="00655032" w:rsidRDefault="00655032" w:rsidP="005421F4">
      <w:pPr>
        <w:jc w:val="both"/>
      </w:pPr>
      <w:r w:rsidRPr="00686262">
        <w:t>Ekologickou</w:t>
      </w:r>
      <w:r w:rsidRPr="007343D4">
        <w:t xml:space="preserve"> stopu dále napomáhá snižovat separace odpadů (skla, plastů, papíru či bioodpadu) či používání šetrných způsobů dopravy (chůze, kolo, veřejná doprava).</w:t>
      </w:r>
    </w:p>
    <w:p w:rsidR="00655032" w:rsidRDefault="00655032" w:rsidP="005421F4">
      <w:pPr>
        <w:jc w:val="both"/>
      </w:pPr>
      <w:r>
        <w:t xml:space="preserve">Samotná hodnota ekologické stopy Hlučína není tak důležitá, jako vývoj tohoto indikátoru do budoucna. Podaří se cílenými opatřeními například v oblasti energetických úspor či rozvoje veřejné dopravy snížit celkový dopad města? Podaří se zachovat současnou míru biologické kapacity ve městě, nedojde k jejímu snížení například díky změně územního plánu ve prospěch neproduktivních ploch? Ekologická stopa města se v kontextu ostatních ukazatelů kvality života stala důležitým měřítkem vývoje města. </w:t>
      </w:r>
    </w:p>
    <w:p w:rsidR="00655032" w:rsidRDefault="00655032" w:rsidP="005421F4">
      <w:pPr>
        <w:jc w:val="both"/>
      </w:pPr>
    </w:p>
    <w:p w:rsidR="00655032" w:rsidRPr="00F92DA5" w:rsidRDefault="00655032" w:rsidP="007227B4">
      <w:pPr>
        <w:spacing w:after="0"/>
        <w:jc w:val="both"/>
      </w:pPr>
      <w:r w:rsidRPr="00F92DA5">
        <w:t>RNDr. Viktor Třebický, Ph.D.</w:t>
      </w:r>
    </w:p>
    <w:p w:rsidR="00655032" w:rsidRPr="00F92DA5" w:rsidRDefault="00655032" w:rsidP="007227B4">
      <w:pPr>
        <w:spacing w:after="0"/>
        <w:jc w:val="both"/>
      </w:pPr>
      <w:r w:rsidRPr="00F92DA5">
        <w:t>Týmová iniciativa pro místní udržitelný rozvoj, o.s.</w:t>
      </w:r>
    </w:p>
    <w:p w:rsidR="00655032" w:rsidRDefault="00655032" w:rsidP="005421F4">
      <w:pPr>
        <w:jc w:val="both"/>
      </w:pPr>
    </w:p>
    <w:sectPr w:rsidR="00655032" w:rsidSect="00003C2B">
      <w:pgSz w:w="12240" w:h="15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032" w:rsidRDefault="00655032" w:rsidP="008D2FDB">
      <w:pPr>
        <w:spacing w:after="0" w:line="240" w:lineRule="auto"/>
      </w:pPr>
      <w:r>
        <w:separator/>
      </w:r>
    </w:p>
  </w:endnote>
  <w:endnote w:type="continuationSeparator" w:id="0">
    <w:p w:rsidR="00655032" w:rsidRDefault="00655032" w:rsidP="008D2F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Lucida Grande CE">
    <w:panose1 w:val="00000000000000000000"/>
    <w:charset w:val="58"/>
    <w:family w:val="auto"/>
    <w:notTrueType/>
    <w:pitch w:val="variable"/>
    <w:sig w:usb0="00000001" w:usb1="00000000" w:usb2="00000000" w:usb3="00000000" w:csb0="00000000" w:csb1="00000000"/>
  </w:font>
  <w:font w:name="Verdana">
    <w:panose1 w:val="020B0604030504040204"/>
    <w:charset w:val="EE"/>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032" w:rsidRDefault="00655032" w:rsidP="008D2FDB">
      <w:pPr>
        <w:spacing w:after="0" w:line="240" w:lineRule="auto"/>
      </w:pPr>
      <w:r>
        <w:separator/>
      </w:r>
    </w:p>
  </w:footnote>
  <w:footnote w:type="continuationSeparator" w:id="0">
    <w:p w:rsidR="00655032" w:rsidRDefault="00655032" w:rsidP="008D2FDB">
      <w:pPr>
        <w:spacing w:after="0" w:line="240" w:lineRule="auto"/>
      </w:pPr>
      <w:r>
        <w:continuationSeparator/>
      </w:r>
    </w:p>
  </w:footnote>
  <w:footnote w:id="1">
    <w:p w:rsidR="00655032" w:rsidRDefault="00655032" w:rsidP="008D2FDB">
      <w:pPr>
        <w:pStyle w:val="FootnoteText"/>
      </w:pPr>
      <w:r>
        <w:rPr>
          <w:rStyle w:val="FootnoteReference"/>
        </w:rPr>
        <w:footnoteRef/>
      </w:r>
      <w:r>
        <w:t xml:space="preserve"> </w:t>
      </w:r>
      <w:hyperlink r:id="rId1" w:history="1">
        <w:r w:rsidRPr="000F3572">
          <w:rPr>
            <w:rStyle w:val="Hyperlink"/>
            <w:sz w:val="16"/>
            <w:szCs w:val="16"/>
          </w:rPr>
          <w:t>http://www.ekostopa.cz/mesto/</w:t>
        </w:r>
      </w:hyperlink>
      <w:r>
        <w:t xml:space="preserve"> </w:t>
      </w:r>
    </w:p>
  </w:footnote>
  <w:footnote w:id="2">
    <w:p w:rsidR="00655032" w:rsidRDefault="00655032" w:rsidP="008D2FDB">
      <w:pPr>
        <w:pStyle w:val="FootnoteText"/>
      </w:pPr>
      <w:r>
        <w:rPr>
          <w:rStyle w:val="FootnoteReference"/>
        </w:rPr>
        <w:footnoteRef/>
      </w:r>
      <w:r>
        <w:t xml:space="preserve"> </w:t>
      </w:r>
      <w:hyperlink r:id="rId2" w:history="1">
        <w:r w:rsidRPr="000F3572">
          <w:rPr>
            <w:rStyle w:val="Hyperlink"/>
            <w:sz w:val="16"/>
            <w:szCs w:val="16"/>
          </w:rPr>
          <w:t>http://www.footprintnetwork.org/</w:t>
        </w:r>
      </w:hyperlink>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2FDB"/>
    <w:rsid w:val="00003C2B"/>
    <w:rsid w:val="000118D6"/>
    <w:rsid w:val="000D4E32"/>
    <w:rsid w:val="000F3572"/>
    <w:rsid w:val="00173D39"/>
    <w:rsid w:val="00187682"/>
    <w:rsid w:val="001B51C0"/>
    <w:rsid w:val="00233AF5"/>
    <w:rsid w:val="002D21C4"/>
    <w:rsid w:val="0032672C"/>
    <w:rsid w:val="00393E89"/>
    <w:rsid w:val="003D341C"/>
    <w:rsid w:val="00423319"/>
    <w:rsid w:val="00437F6F"/>
    <w:rsid w:val="00441249"/>
    <w:rsid w:val="004459D2"/>
    <w:rsid w:val="00447EAA"/>
    <w:rsid w:val="004C2954"/>
    <w:rsid w:val="005421F4"/>
    <w:rsid w:val="00575CD2"/>
    <w:rsid w:val="0058243A"/>
    <w:rsid w:val="006250EB"/>
    <w:rsid w:val="00655032"/>
    <w:rsid w:val="00686262"/>
    <w:rsid w:val="0069575B"/>
    <w:rsid w:val="0072122C"/>
    <w:rsid w:val="007227B4"/>
    <w:rsid w:val="007343D4"/>
    <w:rsid w:val="007906FD"/>
    <w:rsid w:val="007C3C4E"/>
    <w:rsid w:val="007D0F07"/>
    <w:rsid w:val="007E2EE4"/>
    <w:rsid w:val="00807CE6"/>
    <w:rsid w:val="00837F6F"/>
    <w:rsid w:val="008D06D8"/>
    <w:rsid w:val="008D2FDB"/>
    <w:rsid w:val="009658FB"/>
    <w:rsid w:val="00A15D3A"/>
    <w:rsid w:val="00A34B73"/>
    <w:rsid w:val="00A41DA0"/>
    <w:rsid w:val="00A54D18"/>
    <w:rsid w:val="00B96A85"/>
    <w:rsid w:val="00BA6B91"/>
    <w:rsid w:val="00C34975"/>
    <w:rsid w:val="00C831C3"/>
    <w:rsid w:val="00CD1870"/>
    <w:rsid w:val="00D365EA"/>
    <w:rsid w:val="00DB1900"/>
    <w:rsid w:val="00E93696"/>
    <w:rsid w:val="00EB4719"/>
    <w:rsid w:val="00EE4A3E"/>
    <w:rsid w:val="00F23028"/>
    <w:rsid w:val="00F23ADD"/>
    <w:rsid w:val="00F3407C"/>
    <w:rsid w:val="00F76BB2"/>
    <w:rsid w:val="00F87545"/>
    <w:rsid w:val="00F92DA5"/>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ůj styl"/>
    <w:qFormat/>
    <w:rsid w:val="008D2FDB"/>
    <w:pPr>
      <w:spacing w:after="200" w:line="276" w:lineRule="auto"/>
    </w:pPr>
    <w:rPr>
      <w:lang w:eastAsia="en-US"/>
    </w:rPr>
  </w:style>
  <w:style w:type="paragraph" w:styleId="Heading1">
    <w:name w:val="heading 1"/>
    <w:basedOn w:val="Normal"/>
    <w:next w:val="Normal"/>
    <w:link w:val="Heading1Char"/>
    <w:uiPriority w:val="99"/>
    <w:qFormat/>
    <w:rsid w:val="00F92DA5"/>
    <w:pPr>
      <w:keepNext/>
      <w:keepLines/>
      <w:spacing w:before="480" w:after="0"/>
      <w:outlineLvl w:val="0"/>
    </w:pPr>
    <w:rPr>
      <w:rFonts w:ascii="Calibri" w:eastAsia="MS ????" w:hAnsi="Calibri"/>
      <w:b/>
      <w:bCs/>
      <w:color w:val="345A8A"/>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2DA5"/>
    <w:rPr>
      <w:rFonts w:ascii="Calibri" w:eastAsia="MS ????" w:hAnsi="Calibri" w:cs="Times New Roman"/>
      <w:b/>
      <w:bCs/>
      <w:color w:val="345A8A"/>
      <w:sz w:val="32"/>
      <w:szCs w:val="32"/>
      <w:lang w:eastAsia="en-US"/>
    </w:rPr>
  </w:style>
  <w:style w:type="character" w:styleId="Hyperlink">
    <w:name w:val="Hyperlink"/>
    <w:basedOn w:val="DefaultParagraphFont"/>
    <w:uiPriority w:val="99"/>
    <w:rsid w:val="008D2FDB"/>
    <w:rPr>
      <w:rFonts w:cs="Times New Roman"/>
      <w:color w:val="0000FF"/>
      <w:u w:val="single"/>
    </w:rPr>
  </w:style>
  <w:style w:type="paragraph" w:styleId="FootnoteText">
    <w:name w:val="footnote text"/>
    <w:basedOn w:val="Normal"/>
    <w:link w:val="FootnoteTextChar"/>
    <w:uiPriority w:val="99"/>
    <w:rsid w:val="008D2FDB"/>
    <w:pPr>
      <w:spacing w:after="0" w:line="240" w:lineRule="auto"/>
    </w:pPr>
    <w:rPr>
      <w:sz w:val="24"/>
      <w:szCs w:val="24"/>
    </w:rPr>
  </w:style>
  <w:style w:type="character" w:customStyle="1" w:styleId="FootnoteTextChar">
    <w:name w:val="Footnote Text Char"/>
    <w:basedOn w:val="DefaultParagraphFont"/>
    <w:link w:val="FootnoteText"/>
    <w:uiPriority w:val="99"/>
    <w:locked/>
    <w:rsid w:val="008D2FDB"/>
    <w:rPr>
      <w:rFonts w:eastAsia="Times New Roman" w:cs="Times New Roman"/>
      <w:sz w:val="24"/>
      <w:szCs w:val="24"/>
      <w:lang w:eastAsia="en-US"/>
    </w:rPr>
  </w:style>
  <w:style w:type="character" w:styleId="FootnoteReference">
    <w:name w:val="footnote reference"/>
    <w:basedOn w:val="DefaultParagraphFont"/>
    <w:uiPriority w:val="99"/>
    <w:rsid w:val="008D2FDB"/>
    <w:rPr>
      <w:rFonts w:cs="Times New Roman"/>
      <w:vertAlign w:val="superscript"/>
    </w:rPr>
  </w:style>
  <w:style w:type="paragraph" w:styleId="BalloonText">
    <w:name w:val="Balloon Text"/>
    <w:basedOn w:val="Normal"/>
    <w:link w:val="BalloonTextChar"/>
    <w:uiPriority w:val="99"/>
    <w:semiHidden/>
    <w:rsid w:val="008D2FDB"/>
    <w:pPr>
      <w:spacing w:after="0" w:line="240" w:lineRule="auto"/>
    </w:pPr>
    <w:rPr>
      <w:rFonts w:ascii="Lucida Grande CE" w:hAnsi="Lucida Grande CE" w:cs="Lucida Grande CE"/>
      <w:sz w:val="18"/>
      <w:szCs w:val="18"/>
    </w:rPr>
  </w:style>
  <w:style w:type="character" w:customStyle="1" w:styleId="BalloonTextChar">
    <w:name w:val="Balloon Text Char"/>
    <w:basedOn w:val="DefaultParagraphFont"/>
    <w:link w:val="BalloonText"/>
    <w:uiPriority w:val="99"/>
    <w:semiHidden/>
    <w:locked/>
    <w:rsid w:val="008D2FDB"/>
    <w:rPr>
      <w:rFonts w:ascii="Lucida Grande CE" w:eastAsia="Times New Roman" w:hAnsi="Lucida Grande CE" w:cs="Lucida Grande CE"/>
      <w:sz w:val="18"/>
      <w:szCs w:val="18"/>
      <w:lang w:eastAsia="en-US"/>
    </w:rPr>
  </w:style>
  <w:style w:type="character" w:styleId="FollowedHyperlink">
    <w:name w:val="FollowedHyperlink"/>
    <w:basedOn w:val="DefaultParagraphFont"/>
    <w:uiPriority w:val="99"/>
    <w:rsid w:val="007227B4"/>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ekostopa.cz/mesto"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footprintnetwork.org/" TargetMode="External"/><Relationship Id="rId1" Type="http://schemas.openxmlformats.org/officeDocument/2006/relationships/hyperlink" Target="http://www.ekostopa.cz/mesto/mesto.ulozene-vypocty/def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4</Pages>
  <Words>686</Words>
  <Characters>4052</Characters>
  <Application>Microsoft Office Outlook</Application>
  <DocSecurity>0</DocSecurity>
  <Lines>0</Lines>
  <Paragraphs>0</Paragraphs>
  <ScaleCrop>false</ScaleCrop>
  <Company>TIMUR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Třebický</dc:creator>
  <cp:keywords/>
  <dc:description/>
  <cp:lastModifiedBy>praskova</cp:lastModifiedBy>
  <cp:revision>5</cp:revision>
  <dcterms:created xsi:type="dcterms:W3CDTF">2011-09-09T13:18:00Z</dcterms:created>
  <dcterms:modified xsi:type="dcterms:W3CDTF">2011-09-12T10:10:00Z</dcterms:modified>
</cp:coreProperties>
</file>